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8B09D" w14:textId="6D9977C1" w:rsidR="00842B8D" w:rsidRDefault="00842B8D" w:rsidP="002B1F3E">
      <w:pPr>
        <w:pStyle w:val="Title"/>
        <w:rPr>
          <w:rFonts w:eastAsia="Courier"/>
        </w:rPr>
      </w:pPr>
      <w:r>
        <w:rPr>
          <w:rFonts w:eastAsia="Courier"/>
        </w:rPr>
        <w:t xml:space="preserve">New Horizons </w:t>
      </w:r>
      <w:r w:rsidR="002D4B3E">
        <w:rPr>
          <w:rFonts w:eastAsia="Courier"/>
        </w:rPr>
        <w:t>Alice</w:t>
      </w:r>
      <w:r>
        <w:rPr>
          <w:rFonts w:eastAsia="Courier"/>
        </w:rPr>
        <w:t xml:space="preserve"> </w:t>
      </w:r>
      <w:r w:rsidR="000F1F96">
        <w:rPr>
          <w:rFonts w:eastAsia="Courier"/>
        </w:rPr>
        <w:t>KEM2 Cruise</w:t>
      </w:r>
      <w:r w:rsidR="001A6335">
        <w:rPr>
          <w:rFonts w:eastAsia="Courier"/>
        </w:rPr>
        <w:t xml:space="preserve"> </w:t>
      </w:r>
      <w:r w:rsidR="00C2544B">
        <w:rPr>
          <w:rFonts w:eastAsia="Courier"/>
        </w:rPr>
        <w:t>Calibrated</w:t>
      </w:r>
      <w:r w:rsidR="002D4B3E">
        <w:rPr>
          <w:rFonts w:eastAsia="Courier"/>
        </w:rPr>
        <w:t xml:space="preserve"> </w:t>
      </w:r>
      <w:r>
        <w:rPr>
          <w:rFonts w:eastAsia="Courier"/>
        </w:rPr>
        <w:t>Data Overview</w:t>
      </w:r>
    </w:p>
    <w:p w14:paraId="62C7C610" w14:textId="5116AFE8"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providing light edits to the text, format,</w:t>
      </w:r>
      <w:r>
        <w:t xml:space="preserve"> flow, and to </w:t>
      </w:r>
      <w:r w:rsidR="002651B1">
        <w:t>make</w:t>
      </w:r>
      <w:r>
        <w:t xml:space="preserv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4EC14E66" w:rsidR="005F412D" w:rsidRDefault="005F412D" w:rsidP="005F412D">
      <w:r>
        <w:t xml:space="preserve">This data set contains </w:t>
      </w:r>
      <w:r w:rsidR="00C2544B">
        <w:t>Calibrated data</w:t>
      </w:r>
      <w:r>
        <w:t xml:space="preserve"> taken by the New Horizons Alice Ultraviolet Imaging Spectrograph instrument during the </w:t>
      </w:r>
      <w:r w:rsidR="000F1F96">
        <w:t>KEM2 CRUISE</w:t>
      </w:r>
      <w:r>
        <w:t xml:space="preserve"> mission phase.</w:t>
      </w:r>
    </w:p>
    <w:p w14:paraId="00E6CD29" w14:textId="77777777" w:rsidR="000F1F96" w:rsidRDefault="000F1F96" w:rsidP="000F1F96">
      <w:r>
        <w:t>This version includes data acquired by the spacecraft between 10/01/2022 and 04/30/2024. It only includes data downlinked before 05/01/2024. Future datasets may include more data acquired by the spacecraft after 10/01/2022 but downlinked after 04/30/2024.</w:t>
      </w:r>
    </w:p>
    <w:p w14:paraId="5D44777B" w14:textId="77777777" w:rsidR="000F1F96" w:rsidRDefault="000F1F96" w:rsidP="000F1F96">
      <w:r>
        <w:t>This version includes stellar flux calibrations, as well as scattered Lyman Alpha, cosmic UV background, and termination shock observations.</w:t>
      </w:r>
    </w:p>
    <w:p w14:paraId="19E0B33C" w14:textId="77777777" w:rsidR="000F1F96" w:rsidRDefault="000F1F96" w:rsidP="000F1F96">
      <w:r>
        <w:t>This dataset corresponds to New Horizons NAIF SPICE distribution v0008.</w:t>
      </w:r>
    </w:p>
    <w:p w14:paraId="459E5524" w14:textId="317F986E" w:rsidR="00842B8D" w:rsidRDefault="00842B8D" w:rsidP="002B1F3E">
      <w:pPr>
        <w:pStyle w:val="Heading1"/>
        <w:rPr>
          <w:rFonts w:eastAsia="Courier"/>
        </w:rPr>
      </w:pPr>
      <w:r>
        <w:rPr>
          <w:rFonts w:eastAsia="Courier"/>
        </w:rPr>
        <w:t>Data Set Overview</w:t>
      </w:r>
    </w:p>
    <w:p w14:paraId="48E5C66F" w14:textId="3D97DFD3" w:rsidR="00436981" w:rsidRDefault="005F412D" w:rsidP="005F412D">
      <w:r>
        <w:t xml:space="preserve">This data set contains </w:t>
      </w:r>
      <w:r w:rsidR="00C2544B">
        <w:t>Calibrated data</w:t>
      </w:r>
      <w:r>
        <w:t xml:space="preserve"> taken by the New Horizons Alice Ultraviolet Imaging Spectrograph instrument during the </w:t>
      </w:r>
      <w:r w:rsidR="000F1F96">
        <w:t xml:space="preserve">KEM2 CRUISE </w:t>
      </w:r>
      <w:r>
        <w:t>mission phase</w:t>
      </w:r>
      <w:r w:rsidR="00436981">
        <w:t>.</w:t>
      </w:r>
    </w:p>
    <w:p w14:paraId="6309C1BB" w14:textId="53928B16" w:rsidR="00436981" w:rsidRDefault="005F412D" w:rsidP="005F412D">
      <w:r>
        <w:t xml:space="preserve">PERSI-Alice (P-ALICE; </w:t>
      </w:r>
      <w:proofErr w:type="gramStart"/>
      <w:r>
        <w:t>also</w:t>
      </w:r>
      <w:proofErr w:type="gramEnd"/>
      <w:r>
        <w:t xml:space="preserve"> ALICE) is a spectrograph on the New Horizons spacecraft that is sensitive to extreme and far </w:t>
      </w:r>
      <w:proofErr w:type="spellStart"/>
      <w:r>
        <w:t>UltraViolet</w:t>
      </w:r>
      <w:proofErr w:type="spellEnd"/>
      <w:r>
        <w:t xml:space="preserve"> (UV) light (520-1870 Angstroms)</w:t>
      </w:r>
      <w:r w:rsidR="00436981">
        <w:t xml:space="preserve">.  </w:t>
      </w:r>
      <w:r>
        <w:t xml:space="preserve">The </w:t>
      </w:r>
      <w:r w:rsidR="00226037">
        <w:t>ALICE</w:t>
      </w:r>
      <w:r>
        <w:t xml:space="preserve"> instrument comprises a telescopic optics section and a spectrograph section that includes a diffraction grating and a photosensitive two-dimensional (2-D) detector</w:t>
      </w:r>
      <w:r w:rsidR="00436981">
        <w:t xml:space="preserve">.  </w:t>
      </w:r>
      <w:r>
        <w:t>The optics and diffraction grating physical arrangement configure one detector dimension as a spatial dimension and the other as spectral</w:t>
      </w:r>
      <w:r w:rsidR="00436981">
        <w:t xml:space="preserve">.  </w:t>
      </w:r>
      <w:r w:rsidR="00226037">
        <w:t>ALICE</w:t>
      </w:r>
      <w:r>
        <w:t xml:space="preserve"> has two separate entrance apertures that feed light to the telescope section of the instrument: the </w:t>
      </w:r>
      <w:proofErr w:type="spellStart"/>
      <w:r>
        <w:t>AirGlow</w:t>
      </w:r>
      <w:proofErr w:type="spellEnd"/>
      <w:r>
        <w:t xml:space="preserve"> Channel (AGC) aperture; the Solar Occultation Channel (SOCC) aperture</w:t>
      </w:r>
      <w:r w:rsidR="00436981">
        <w:t xml:space="preserve">.  </w:t>
      </w:r>
      <w:r>
        <w:t xml:space="preserve">Both apertures pass light to the detector through a lollipop-shaped slit comprising two contiguous sections: a narrow, rectangular slit with a Field </w:t>
      </w:r>
      <w:proofErr w:type="gramStart"/>
      <w:r>
        <w:t>Of</w:t>
      </w:r>
      <w:proofErr w:type="gramEnd"/>
      <w:r>
        <w:t xml:space="preserve"> View (FOV) of 0.1 by 4.0 degrees; a fat, square slit with FOV 2.0 x 2.0 degrees</w:t>
      </w:r>
      <w:r w:rsidR="00436981">
        <w:t xml:space="preserve">.  </w:t>
      </w:r>
      <w:r w:rsidR="00226037">
        <w:t>ALICE</w:t>
      </w:r>
      <w:r>
        <w:t xml:space="preserve"> has three data-taking modes: </w:t>
      </w:r>
      <w:proofErr w:type="spellStart"/>
      <w:r>
        <w:t>PixelList</w:t>
      </w:r>
      <w:proofErr w:type="spellEnd"/>
      <w:r>
        <w:t xml:space="preserve"> mode records each detector/photon event location (pixel</w:t>
      </w:r>
      <w:r w:rsidR="002651B1">
        <w:t>,</w:t>
      </w:r>
      <w:r>
        <w:t xml:space="preserve"> i.e.</w:t>
      </w:r>
      <w:r w:rsidR="002651B1">
        <w:t>,</w:t>
      </w:r>
      <w:r>
        <w:t xml:space="preserve"> spectral and spatial), interleaved with time sequence events (hacks), allowing sub-second resolution of the photon events; histogram mode summarizes the per-pixel photon event counts into a 2-D histogram over all detector pixels, collected over an extended time which can range from a few seconds to several days; High-Cadence </w:t>
      </w:r>
      <w:proofErr w:type="spellStart"/>
      <w:r>
        <w:t>CountRate</w:t>
      </w:r>
      <w:proofErr w:type="spellEnd"/>
      <w:r>
        <w:t xml:space="preserve"> (HCCR) mode stores only the number of detector/photon events recorded during each regular sampling interval that can be chosen from 0.02 seconds up to 4.96 seconds, yielding a time series of global detector event count rate</w:t>
      </w:r>
      <w:r w:rsidR="00436981">
        <w:t xml:space="preserve">.  </w:t>
      </w:r>
      <w:r>
        <w:t xml:space="preserve">From both </w:t>
      </w:r>
      <w:proofErr w:type="spellStart"/>
      <w:r>
        <w:t>PixelList</w:t>
      </w:r>
      <w:proofErr w:type="spellEnd"/>
      <w:r>
        <w:t xml:space="preserve"> and histogram modes, the common data product is the histogram (derived on the ground in the </w:t>
      </w:r>
      <w:proofErr w:type="spellStart"/>
      <w:r>
        <w:t>PixelList</w:t>
      </w:r>
      <w:proofErr w:type="spellEnd"/>
      <w:r>
        <w:t xml:space="preserve"> case), which is functionally equivalent to a spectral-by-spatial spectrogram (2-D image); High-Cadence </w:t>
      </w:r>
      <w:proofErr w:type="spellStart"/>
      <w:r>
        <w:t>CountRate</w:t>
      </w:r>
      <w:proofErr w:type="spellEnd"/>
      <w:r>
        <w:t xml:space="preserve"> mode discards all spatial and spectral information</w:t>
      </w:r>
      <w:r w:rsidR="002651B1">
        <w:t xml:space="preserve">.  </w:t>
      </w:r>
      <w:r>
        <w:t>Other data products are also provided and described in this data set</w:t>
      </w:r>
      <w:r w:rsidR="00436981">
        <w:t>.</w:t>
      </w:r>
    </w:p>
    <w:p w14:paraId="70EF8619" w14:textId="5458BF0D" w:rsidR="00436981" w:rsidRDefault="005F412D" w:rsidP="005F412D">
      <w:r>
        <w:t>Every observation provided in this data set was taken as a part of a particular sequence</w:t>
      </w:r>
      <w:r w:rsidR="005D2FF0">
        <w:t xml:space="preserve">.  </w:t>
      </w:r>
      <w:r>
        <w:t xml:space="preserve">A list of these sequences has been provided in file </w:t>
      </w:r>
      <w:r w:rsidR="006B4AD6">
        <w:t xml:space="preserve">that can be found within the PDS (with </w:t>
      </w:r>
      <w:r w:rsidR="00E170FF">
        <w:t xml:space="preserve">PDS4 </w:t>
      </w:r>
      <w:r w:rsidR="006B4AD6">
        <w:t xml:space="preserve">LID </w:t>
      </w:r>
      <w:r w:rsidR="006B4AD6" w:rsidRPr="00CD458E">
        <w:rPr>
          <w:rFonts w:ascii="Courier New" w:hAnsi="Courier New" w:cs="Courier New"/>
          <w:sz w:val="20"/>
          <w:szCs w:val="20"/>
        </w:rPr>
        <w:t>urn:nasa:pds:nh_documents:alice:seq_alice_kem</w:t>
      </w:r>
      <w:r w:rsidR="000F1F96">
        <w:rPr>
          <w:rFonts w:ascii="Courier New" w:hAnsi="Courier New" w:cs="Courier New"/>
          <w:sz w:val="20"/>
          <w:szCs w:val="20"/>
        </w:rPr>
        <w:t>2</w:t>
      </w:r>
      <w:r w:rsidR="006B4AD6">
        <w:t>)</w:t>
      </w:r>
      <w:r w:rsidR="00436981">
        <w:t xml:space="preserve">.  </w:t>
      </w:r>
      <w:r>
        <w:t>N.B. Some sequences provided may have no corresponding observations</w:t>
      </w:r>
      <w:r w:rsidR="00436981">
        <w:t>.</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3BC72EA6" w14:textId="77777777" w:rsidR="000F1F96" w:rsidRDefault="000F1F96" w:rsidP="000F1F96">
      <w:pPr>
        <w:pStyle w:val="Heading2"/>
        <w:rPr>
          <w:rFonts w:eastAsia="Courier"/>
        </w:rPr>
      </w:pPr>
      <w:r>
        <w:rPr>
          <w:rFonts w:eastAsia="Courier"/>
        </w:rPr>
        <w:t>PDS4 v1.0</w:t>
      </w:r>
    </w:p>
    <w:p w14:paraId="635575E9" w14:textId="77777777" w:rsidR="000F1F96" w:rsidRDefault="000F1F96" w:rsidP="000F1F96">
      <w:r>
        <w:t>This version includes data acquired by the spacecraft between 10/01/2022 and 04/30/2024. It only includes data downlinked before 05/01/2024. Future datasets may include more data acquired by the spacecraft after 10/01/2022 but downlinked after 04/30/2024.</w:t>
      </w:r>
    </w:p>
    <w:p w14:paraId="3DD7BDC6" w14:textId="77777777" w:rsidR="000F1F96" w:rsidRDefault="000F1F96" w:rsidP="000F1F96">
      <w:r>
        <w:t>This version includes stellar flux calibrations, as well as scattered Lyman Alpha, cosmic UV background, and termination shock observations.</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(SwRI),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77777777" w:rsidR="00436981" w:rsidRDefault="00842B8D" w:rsidP="00793FA2">
      <w:pPr>
        <w:pStyle w:val="FixedWidth"/>
        <w:keepNext/>
        <w:keepLines/>
      </w:pPr>
      <w:r>
        <w:t xml:space="preserve">         </w:t>
      </w:r>
      <w:r w:rsidR="00781AA9" w:rsidRPr="00781AA9">
        <w:t>ali_0123456789_0x4b0_eng</w:t>
      </w:r>
      <w:r w:rsidR="007D5F55">
        <w:t>.fit</w:t>
      </w:r>
      <w:r>
        <w:t xml:space="preserve">                                      </w:t>
      </w:r>
    </w:p>
    <w:p w14:paraId="7221EA75" w14:textId="77777777" w:rsidR="00436981" w:rsidRDefault="00842B8D" w:rsidP="00793FA2">
      <w:pPr>
        <w:pStyle w:val="FixedWidth"/>
        <w:keepNext/>
        <w:keepLines/>
      </w:pPr>
      <w:r>
        <w:t xml:space="preserve">         ^^^ ^^^^^^^^^^ ^^^^^ ^^^\__/                                      </w:t>
      </w:r>
    </w:p>
    <w:p w14:paraId="37093393" w14:textId="77777777" w:rsidR="00436981" w:rsidRDefault="00842B8D" w:rsidP="00793FA2">
      <w:pPr>
        <w:pStyle w:val="FixedWidth"/>
        <w:keepNext/>
        <w:keepLines/>
      </w:pPr>
      <w:r>
        <w:t xml:space="preserve">         |        |       |    |  ^^                                       </w:t>
      </w:r>
    </w:p>
    <w:p w14:paraId="30F110BE" w14:textId="77777777" w:rsidR="00436981" w:rsidRDefault="00842B8D" w:rsidP="00793FA2">
      <w:pPr>
        <w:pStyle w:val="FixedWidth"/>
        <w:keepNext/>
        <w:keepLines/>
      </w:pPr>
      <w:r>
        <w:t xml:space="preserve">         |        |       |    |   |                                       </w:t>
      </w:r>
    </w:p>
    <w:p w14:paraId="6E0E3103" w14:textId="77777777" w:rsidR="00436981" w:rsidRDefault="00842B8D" w:rsidP="00793FA2">
      <w:pPr>
        <w:pStyle w:val="FixedWidth"/>
        <w:keepNext/>
        <w:keepLines/>
      </w:pPr>
      <w:r>
        <w:t xml:space="preserve">         |        |       |    |   +--File type (includes dot)             </w:t>
      </w:r>
    </w:p>
    <w:p w14:paraId="5D16F4C1" w14:textId="77777777" w:rsidR="00436981" w:rsidRDefault="00842B8D" w:rsidP="00793FA2">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793FA2">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793FA2">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793FA2">
      <w:pPr>
        <w:pStyle w:val="FixedWidth"/>
        <w:keepNext/>
        <w:keepLines/>
      </w:pPr>
      <w:r>
        <w:t xml:space="preserve">         |        |       |    |                                           </w:t>
      </w:r>
    </w:p>
    <w:p w14:paraId="6599EC46" w14:textId="77777777" w:rsidR="00436981" w:rsidRDefault="00842B8D" w:rsidP="00793FA2">
      <w:pPr>
        <w:pStyle w:val="FixedWidth"/>
        <w:keepNext/>
        <w:keepLines/>
      </w:pPr>
      <w:r>
        <w:t xml:space="preserve">         |        |       |    +--ENG for CODMAC Level 2 data              </w:t>
      </w:r>
    </w:p>
    <w:p w14:paraId="68AE776C" w14:textId="77777777" w:rsidR="00436981" w:rsidRDefault="00842B8D" w:rsidP="00793FA2">
      <w:pPr>
        <w:pStyle w:val="FixedWidth"/>
        <w:keepNext/>
        <w:keepLines/>
      </w:pPr>
      <w:r>
        <w:t xml:space="preserve">         |        |       |       SCI for CODMAC Level 3 data              </w:t>
      </w:r>
    </w:p>
    <w:p w14:paraId="10576A12" w14:textId="77777777" w:rsidR="00436981" w:rsidRDefault="00842B8D" w:rsidP="00793FA2">
      <w:pPr>
        <w:pStyle w:val="FixedWidth"/>
        <w:keepNext/>
        <w:keepLines/>
      </w:pPr>
      <w:r>
        <w:t xml:space="preserve">         |        |       |                                                </w:t>
      </w:r>
    </w:p>
    <w:p w14:paraId="2ED59A4C" w14:textId="77777777" w:rsidR="00436981" w:rsidRDefault="00842B8D" w:rsidP="00793FA2">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793FA2">
      <w:pPr>
        <w:pStyle w:val="FixedWidth"/>
        <w:keepNext/>
        <w:keepLines/>
      </w:pPr>
      <w:r>
        <w:t xml:space="preserve">         |        |          packet from which the data come               </w:t>
      </w:r>
    </w:p>
    <w:p w14:paraId="119BDEBF" w14:textId="77777777" w:rsidR="00436981" w:rsidRDefault="00842B8D" w:rsidP="00793FA2">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793FA2">
      <w:pPr>
        <w:pStyle w:val="FixedWidth"/>
        <w:keepNext/>
        <w:keepLines/>
      </w:pPr>
      <w:r>
        <w:t xml:space="preserve">         |        |                                                        </w:t>
      </w:r>
    </w:p>
    <w:p w14:paraId="54B359E8" w14:textId="77777777" w:rsidR="00436981" w:rsidRDefault="00842B8D" w:rsidP="00793FA2">
      <w:pPr>
        <w:pStyle w:val="FixedWidth"/>
        <w:keepNext/>
        <w:keepLines/>
      </w:pPr>
      <w:r>
        <w:t xml:space="preserve">         |        +--MET (Mission Event Time) i.e. Spacecraft Clock        </w:t>
      </w:r>
    </w:p>
    <w:p w14:paraId="5F8564D8" w14:textId="77777777" w:rsidR="00436981" w:rsidRDefault="00842B8D" w:rsidP="00793FA2">
      <w:pPr>
        <w:pStyle w:val="FixedWidth"/>
        <w:keepNext/>
        <w:keepLines/>
      </w:pPr>
      <w:r>
        <w:t xml:space="preserve">         |                                                                 </w:t>
      </w:r>
    </w:p>
    <w:p w14:paraId="483FFA8B" w14:textId="77777777" w:rsidR="00436981" w:rsidRDefault="00842B8D" w:rsidP="00793FA2">
      <w:pPr>
        <w:pStyle w:val="FixedWidth"/>
        <w:keepNext/>
        <w:keepLines/>
      </w:pPr>
      <w:r>
        <w:t xml:space="preserve">         +--Instrument designator                                          </w:t>
      </w:r>
    </w:p>
    <w:p w14:paraId="70F4808D" w14:textId="77777777" w:rsidR="00436981" w:rsidRDefault="00842B8D" w:rsidP="00793FA2">
      <w:pPr>
        <w:pStyle w:val="FixedWidth"/>
        <w:keepNext/>
        <w:keepLines/>
      </w:pPr>
      <w:r>
        <w:t xml:space="preserve">                                                                           </w:t>
      </w:r>
    </w:p>
    <w:p w14:paraId="15C6A0D2" w14:textId="597B7997" w:rsidR="00822048" w:rsidRDefault="00822048" w:rsidP="00AF1C73">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793FA2">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793FA2">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77777777" w:rsidR="00592975" w:rsidRPr="00592975" w:rsidRDefault="00592975" w:rsidP="00793FA2">
            <w:pPr>
              <w:keepNext/>
              <w:keepLines/>
              <w:rPr>
                <w:rFonts w:ascii="Courier" w:hAnsi="Courier" w:cstheme="minorHAnsi"/>
                <w:color w:val="000000"/>
                <w:sz w:val="20"/>
                <w:szCs w:val="20"/>
              </w:rPr>
            </w:pPr>
            <w:r w:rsidRPr="00592975">
              <w:rPr>
                <w:rFonts w:ascii="Courier" w:hAnsi="Courier" w:cstheme="minorHAnsi"/>
                <w:color w:val="000000"/>
                <w:sz w:val="20"/>
                <w:szCs w:val="20"/>
              </w:rPr>
              <w:t>ALI</w:t>
            </w:r>
          </w:p>
        </w:tc>
        <w:tc>
          <w:tcPr>
            <w:tcW w:w="5316" w:type="dxa"/>
          </w:tcPr>
          <w:p w14:paraId="04D6FF8A" w14:textId="77777777" w:rsidR="00592975" w:rsidRPr="00592975" w:rsidRDefault="00592975" w:rsidP="00793FA2">
            <w:pPr>
              <w:keepNext/>
              <w:keepLines/>
              <w:rPr>
                <w:rFonts w:ascii="Courier" w:hAnsi="Courier" w:cstheme="minorHAnsi"/>
                <w:color w:val="000000"/>
                <w:sz w:val="20"/>
                <w:szCs w:val="20"/>
              </w:rPr>
            </w:pPr>
            <w:r w:rsidRPr="00592975">
              <w:rPr>
                <w:rFonts w:ascii="Courier" w:hAnsi="Courier" w:cstheme="minorHAnsi"/>
                <w:color w:val="000000"/>
                <w:sz w:val="20"/>
                <w:szCs w:val="20"/>
              </w:rPr>
              <w:t>Alice</w:t>
            </w:r>
          </w:p>
        </w:tc>
      </w:tr>
    </w:tbl>
    <w:p w14:paraId="1A5A6E4D" w14:textId="63922C8D" w:rsidR="00595A90" w:rsidRPr="008948D3" w:rsidRDefault="00595A90" w:rsidP="00595A90">
      <w:r>
        <w:t xml:space="preserve">See </w:t>
      </w:r>
      <w:r w:rsidR="00DE2F6D">
        <w:t xml:space="preserve">the </w:t>
      </w:r>
      <w:r>
        <w:t xml:space="preserve">SOC Instrument </w:t>
      </w:r>
      <w:r w:rsidR="009F4889">
        <w:t>Interface Control Document (</w:t>
      </w:r>
      <w:r>
        <w:t>ICD</w:t>
      </w:r>
      <w:r w:rsidR="009F4889">
        <w:t>) within the PDS</w:t>
      </w:r>
      <w:r>
        <w:t xml:space="preserve"> for more details</w:t>
      </w:r>
      <w:r w:rsidR="009F4889">
        <w:t xml:space="preserve"> (</w:t>
      </w:r>
      <w:r w:rsidR="00E170FF">
        <w:t xml:space="preserve">PDS4 </w:t>
      </w:r>
      <w:r w:rsidR="009F4889">
        <w:t>LID</w:t>
      </w:r>
      <w:r>
        <w:t xml:space="preserve"> </w:t>
      </w:r>
      <w:proofErr w:type="spellStart"/>
      <w:proofErr w:type="gramStart"/>
      <w:r w:rsidR="00CD458E" w:rsidRPr="00CD458E">
        <w:rPr>
          <w:rStyle w:val="FixedWidthChar"/>
          <w:rFonts w:ascii="Courier New" w:hAnsi="Courier New" w:cs="Courier New"/>
        </w:rPr>
        <w:t>urn:nasa</w:t>
      </w:r>
      <w:proofErr w:type="gramEnd"/>
      <w:r w:rsidR="00CD458E" w:rsidRPr="00CD458E">
        <w:rPr>
          <w:rStyle w:val="FixedWidthChar"/>
          <w:rFonts w:ascii="Courier New" w:hAnsi="Courier New" w:cs="Courier New"/>
        </w:rPr>
        <w:t>:pds:nh_documents:mission:soc_inst_icd</w:t>
      </w:r>
      <w:proofErr w:type="spellEnd"/>
      <w:r w:rsidR="009F4889">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similar to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0F09E82A" w14:textId="2F463ADA" w:rsidR="00AF1C73" w:rsidRDefault="00AF1C73" w:rsidP="003942F7">
      <w:pPr>
        <w:pStyle w:val="Heading3"/>
      </w:pPr>
      <w:r>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8012" w:type="dxa"/>
        <w:tblInd w:w="488" w:type="dxa"/>
        <w:tblLook w:val="04A0" w:firstRow="1" w:lastRow="0" w:firstColumn="1" w:lastColumn="0" w:noHBand="0" w:noVBand="1"/>
      </w:tblPr>
      <w:tblGrid>
        <w:gridCol w:w="1208"/>
        <w:gridCol w:w="6804"/>
      </w:tblGrid>
      <w:tr w:rsidR="003942F7" w:rsidRPr="003942F7" w14:paraId="3CBAE273" w14:textId="77777777" w:rsidTr="003942F7">
        <w:tc>
          <w:tcPr>
            <w:tcW w:w="1208" w:type="dxa"/>
          </w:tcPr>
          <w:p w14:paraId="37B063F9" w14:textId="77777777" w:rsidR="003942F7" w:rsidRPr="003942F7" w:rsidRDefault="003942F7" w:rsidP="00793FA2">
            <w:pPr>
              <w:keepNext/>
              <w:keepLines/>
              <w:rPr>
                <w:rFonts w:ascii="Courier" w:hAnsi="Courier"/>
                <w:b/>
                <w:bCs/>
                <w:sz w:val="20"/>
                <w:szCs w:val="20"/>
              </w:rPr>
            </w:pPr>
            <w:proofErr w:type="spellStart"/>
            <w:r w:rsidRPr="003942F7">
              <w:rPr>
                <w:rFonts w:ascii="Courier" w:hAnsi="Courier"/>
                <w:b/>
                <w:bCs/>
                <w:sz w:val="20"/>
                <w:szCs w:val="20"/>
              </w:rPr>
              <w:t>ApIDs</w:t>
            </w:r>
            <w:proofErr w:type="spellEnd"/>
          </w:p>
        </w:tc>
        <w:tc>
          <w:tcPr>
            <w:tcW w:w="6804" w:type="dxa"/>
          </w:tcPr>
          <w:p w14:paraId="04F817EF" w14:textId="5343595F" w:rsidR="003942F7" w:rsidRPr="003942F7" w:rsidRDefault="003942F7" w:rsidP="00793FA2">
            <w:pPr>
              <w:keepNext/>
              <w:keepLines/>
              <w:rPr>
                <w:rFonts w:ascii="Courier" w:hAnsi="Courier"/>
                <w:b/>
                <w:bCs/>
                <w:sz w:val="20"/>
                <w:szCs w:val="20"/>
              </w:rPr>
            </w:pPr>
            <w:r w:rsidRPr="003942F7">
              <w:rPr>
                <w:rFonts w:ascii="Courier" w:hAnsi="Courier"/>
                <w:b/>
                <w:bCs/>
                <w:sz w:val="20"/>
                <w:szCs w:val="20"/>
              </w:rPr>
              <w:t>Data product description/Prefix(es)</w:t>
            </w:r>
          </w:p>
        </w:tc>
      </w:tr>
      <w:tr w:rsidR="003942F7" w:rsidRPr="003942F7" w14:paraId="3743E89F" w14:textId="77777777" w:rsidTr="003942F7">
        <w:tc>
          <w:tcPr>
            <w:tcW w:w="1208" w:type="dxa"/>
          </w:tcPr>
          <w:p w14:paraId="688E1936"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0x4b0</w:t>
            </w:r>
          </w:p>
        </w:tc>
        <w:tc>
          <w:tcPr>
            <w:tcW w:w="6804" w:type="dxa"/>
          </w:tcPr>
          <w:p w14:paraId="2E6A18BD" w14:textId="59C87F48" w:rsidR="003942F7" w:rsidRPr="003942F7" w:rsidRDefault="003942F7" w:rsidP="00793FA2">
            <w:pPr>
              <w:keepNext/>
              <w:keepLines/>
              <w:rPr>
                <w:rFonts w:ascii="Courier" w:hAnsi="Courier"/>
                <w:sz w:val="20"/>
                <w:szCs w:val="20"/>
              </w:rPr>
            </w:pPr>
            <w:r w:rsidRPr="003942F7">
              <w:rPr>
                <w:rFonts w:ascii="Courier" w:hAnsi="Courier"/>
                <w:sz w:val="20"/>
                <w:szCs w:val="20"/>
              </w:rPr>
              <w:t xml:space="preserve">ALICE </w:t>
            </w:r>
            <w:proofErr w:type="spellStart"/>
            <w:r w:rsidRPr="003942F7">
              <w:rPr>
                <w:rFonts w:ascii="Courier" w:hAnsi="Courier"/>
                <w:sz w:val="20"/>
                <w:szCs w:val="20"/>
              </w:rPr>
              <w:t>PixelList</w:t>
            </w:r>
            <w:proofErr w:type="spellEnd"/>
            <w:r w:rsidRPr="003942F7">
              <w:rPr>
                <w:rFonts w:ascii="Courier" w:hAnsi="Courier"/>
                <w:sz w:val="20"/>
                <w:szCs w:val="20"/>
              </w:rPr>
              <w:t xml:space="preserve"> Lossless (CDH 1)/ALI</w:t>
            </w:r>
          </w:p>
        </w:tc>
      </w:tr>
      <w:tr w:rsidR="003942F7" w:rsidRPr="003942F7" w14:paraId="7FE9ED40" w14:textId="77777777" w:rsidTr="003942F7">
        <w:tc>
          <w:tcPr>
            <w:tcW w:w="1208" w:type="dxa"/>
          </w:tcPr>
          <w:p w14:paraId="433FED0F"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0x4b1</w:t>
            </w:r>
          </w:p>
        </w:tc>
        <w:tc>
          <w:tcPr>
            <w:tcW w:w="6804" w:type="dxa"/>
          </w:tcPr>
          <w:p w14:paraId="0676355D" w14:textId="7BC7CAF7" w:rsidR="003942F7" w:rsidRPr="003942F7" w:rsidRDefault="003942F7" w:rsidP="00793FA2">
            <w:pPr>
              <w:keepNext/>
              <w:keepLines/>
              <w:rPr>
                <w:rFonts w:ascii="Courier" w:hAnsi="Courier"/>
                <w:sz w:val="20"/>
                <w:szCs w:val="20"/>
              </w:rPr>
            </w:pPr>
            <w:r w:rsidRPr="003942F7">
              <w:rPr>
                <w:rFonts w:ascii="Courier" w:hAnsi="Courier"/>
                <w:sz w:val="20"/>
                <w:szCs w:val="20"/>
              </w:rPr>
              <w:t xml:space="preserve">ALICE </w:t>
            </w:r>
            <w:proofErr w:type="spellStart"/>
            <w:r w:rsidRPr="003942F7">
              <w:rPr>
                <w:rFonts w:ascii="Courier" w:hAnsi="Courier"/>
                <w:sz w:val="20"/>
                <w:szCs w:val="20"/>
              </w:rPr>
              <w:t>PixelList</w:t>
            </w:r>
            <w:proofErr w:type="spellEnd"/>
            <w:r w:rsidRPr="003942F7">
              <w:rPr>
                <w:rFonts w:ascii="Courier" w:hAnsi="Courier"/>
                <w:sz w:val="20"/>
                <w:szCs w:val="20"/>
              </w:rPr>
              <w:t xml:space="preserve"> Packetized (CDH 1)/ALI</w:t>
            </w:r>
          </w:p>
        </w:tc>
      </w:tr>
      <w:tr w:rsidR="003942F7" w:rsidRPr="003942F7" w14:paraId="631760FB" w14:textId="77777777" w:rsidTr="003942F7">
        <w:tc>
          <w:tcPr>
            <w:tcW w:w="1208" w:type="dxa"/>
          </w:tcPr>
          <w:p w14:paraId="4C3FA07E"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0x4b4</w:t>
            </w:r>
          </w:p>
        </w:tc>
        <w:tc>
          <w:tcPr>
            <w:tcW w:w="6804" w:type="dxa"/>
          </w:tcPr>
          <w:p w14:paraId="3FFCDF82" w14:textId="3AC24F74" w:rsidR="003942F7" w:rsidRPr="003942F7" w:rsidRDefault="003942F7" w:rsidP="00793FA2">
            <w:pPr>
              <w:keepNext/>
              <w:keepLines/>
              <w:rPr>
                <w:rFonts w:ascii="Courier" w:hAnsi="Courier"/>
                <w:sz w:val="20"/>
                <w:szCs w:val="20"/>
              </w:rPr>
            </w:pPr>
            <w:r w:rsidRPr="003942F7">
              <w:rPr>
                <w:rFonts w:ascii="Courier" w:hAnsi="Courier"/>
                <w:sz w:val="20"/>
                <w:szCs w:val="20"/>
              </w:rPr>
              <w:t xml:space="preserve">ALICE </w:t>
            </w:r>
            <w:proofErr w:type="spellStart"/>
            <w:r w:rsidRPr="003942F7">
              <w:rPr>
                <w:rFonts w:ascii="Courier" w:hAnsi="Courier"/>
                <w:sz w:val="20"/>
                <w:szCs w:val="20"/>
              </w:rPr>
              <w:t>PixelList</w:t>
            </w:r>
            <w:proofErr w:type="spellEnd"/>
            <w:r w:rsidRPr="003942F7">
              <w:rPr>
                <w:rFonts w:ascii="Courier" w:hAnsi="Courier"/>
                <w:sz w:val="20"/>
                <w:szCs w:val="20"/>
              </w:rPr>
              <w:t xml:space="preserve"> Lossless (CDH 2)/ALI</w:t>
            </w:r>
          </w:p>
        </w:tc>
      </w:tr>
      <w:tr w:rsidR="003942F7" w:rsidRPr="003942F7" w14:paraId="6CEB840F" w14:textId="77777777" w:rsidTr="003942F7">
        <w:tc>
          <w:tcPr>
            <w:tcW w:w="1208" w:type="dxa"/>
          </w:tcPr>
          <w:p w14:paraId="12F06676"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0x4b5</w:t>
            </w:r>
          </w:p>
        </w:tc>
        <w:tc>
          <w:tcPr>
            <w:tcW w:w="6804" w:type="dxa"/>
          </w:tcPr>
          <w:p w14:paraId="2B977836" w14:textId="4B6EFA5E" w:rsidR="003942F7" w:rsidRPr="003942F7" w:rsidRDefault="003942F7" w:rsidP="00793FA2">
            <w:pPr>
              <w:keepNext/>
              <w:keepLines/>
              <w:rPr>
                <w:rFonts w:ascii="Courier" w:hAnsi="Courier"/>
                <w:sz w:val="20"/>
                <w:szCs w:val="20"/>
              </w:rPr>
            </w:pPr>
            <w:r w:rsidRPr="003942F7">
              <w:rPr>
                <w:rFonts w:ascii="Courier" w:hAnsi="Courier"/>
                <w:sz w:val="20"/>
                <w:szCs w:val="20"/>
              </w:rPr>
              <w:t xml:space="preserve">ALICE </w:t>
            </w:r>
            <w:proofErr w:type="spellStart"/>
            <w:r w:rsidRPr="003942F7">
              <w:rPr>
                <w:rFonts w:ascii="Courier" w:hAnsi="Courier"/>
                <w:sz w:val="20"/>
                <w:szCs w:val="20"/>
              </w:rPr>
              <w:t>PixelList</w:t>
            </w:r>
            <w:proofErr w:type="spellEnd"/>
            <w:r w:rsidRPr="003942F7">
              <w:rPr>
                <w:rFonts w:ascii="Courier" w:hAnsi="Courier"/>
                <w:sz w:val="20"/>
                <w:szCs w:val="20"/>
              </w:rPr>
              <w:t xml:space="preserve"> Packetized (CDH 2)/ALI</w:t>
            </w:r>
          </w:p>
        </w:tc>
      </w:tr>
      <w:tr w:rsidR="003942F7" w:rsidRPr="003942F7" w14:paraId="54288407" w14:textId="77777777" w:rsidTr="003942F7">
        <w:tc>
          <w:tcPr>
            <w:tcW w:w="1208" w:type="dxa"/>
          </w:tcPr>
          <w:p w14:paraId="2236287D"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0x4b2</w:t>
            </w:r>
          </w:p>
        </w:tc>
        <w:tc>
          <w:tcPr>
            <w:tcW w:w="6804" w:type="dxa"/>
          </w:tcPr>
          <w:p w14:paraId="12BC12C3" w14:textId="7B87D132" w:rsidR="003942F7" w:rsidRPr="003942F7" w:rsidRDefault="003942F7" w:rsidP="00793FA2">
            <w:pPr>
              <w:keepNext/>
              <w:keepLines/>
              <w:rPr>
                <w:rFonts w:ascii="Courier" w:hAnsi="Courier"/>
                <w:sz w:val="20"/>
                <w:szCs w:val="20"/>
              </w:rPr>
            </w:pPr>
            <w:r w:rsidRPr="003942F7">
              <w:rPr>
                <w:rFonts w:ascii="Courier" w:hAnsi="Courier"/>
                <w:sz w:val="20"/>
                <w:szCs w:val="20"/>
              </w:rPr>
              <w:t>ALICE Histogram Lossless (CDH 1)/ALI</w:t>
            </w:r>
          </w:p>
        </w:tc>
      </w:tr>
      <w:tr w:rsidR="003942F7" w:rsidRPr="003942F7" w14:paraId="43B7284A" w14:textId="77777777" w:rsidTr="003942F7">
        <w:tc>
          <w:tcPr>
            <w:tcW w:w="1208" w:type="dxa"/>
          </w:tcPr>
          <w:p w14:paraId="315DDB6F"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0x4b3</w:t>
            </w:r>
          </w:p>
        </w:tc>
        <w:tc>
          <w:tcPr>
            <w:tcW w:w="6804" w:type="dxa"/>
          </w:tcPr>
          <w:p w14:paraId="78B7F176" w14:textId="24715E55" w:rsidR="003942F7" w:rsidRPr="003942F7" w:rsidRDefault="003942F7" w:rsidP="00793FA2">
            <w:pPr>
              <w:keepNext/>
              <w:keepLines/>
              <w:rPr>
                <w:rFonts w:ascii="Courier" w:hAnsi="Courier"/>
                <w:sz w:val="20"/>
                <w:szCs w:val="20"/>
              </w:rPr>
            </w:pPr>
            <w:r w:rsidRPr="003942F7">
              <w:rPr>
                <w:rFonts w:ascii="Courier" w:hAnsi="Courier"/>
                <w:sz w:val="20"/>
                <w:szCs w:val="20"/>
              </w:rPr>
              <w:t>ALICE Histogram Packetized (CDH 1)/ALI</w:t>
            </w:r>
          </w:p>
        </w:tc>
      </w:tr>
      <w:tr w:rsidR="003942F7" w:rsidRPr="003942F7" w14:paraId="32192C50" w14:textId="77777777" w:rsidTr="003942F7">
        <w:tc>
          <w:tcPr>
            <w:tcW w:w="1208" w:type="dxa"/>
          </w:tcPr>
          <w:p w14:paraId="6491726D"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0x4b6</w:t>
            </w:r>
          </w:p>
        </w:tc>
        <w:tc>
          <w:tcPr>
            <w:tcW w:w="6804" w:type="dxa"/>
          </w:tcPr>
          <w:p w14:paraId="3ADFADBE" w14:textId="2C3C9D66" w:rsidR="003942F7" w:rsidRPr="003942F7" w:rsidRDefault="003942F7" w:rsidP="00793FA2">
            <w:pPr>
              <w:keepNext/>
              <w:keepLines/>
              <w:rPr>
                <w:rFonts w:ascii="Courier" w:hAnsi="Courier"/>
                <w:sz w:val="20"/>
                <w:szCs w:val="20"/>
              </w:rPr>
            </w:pPr>
            <w:r w:rsidRPr="003942F7">
              <w:rPr>
                <w:rFonts w:ascii="Courier" w:hAnsi="Courier"/>
                <w:sz w:val="20"/>
                <w:szCs w:val="20"/>
              </w:rPr>
              <w:t>ALICE Histogram Lossless (CDH 2)/ALI</w:t>
            </w:r>
          </w:p>
        </w:tc>
      </w:tr>
      <w:tr w:rsidR="003942F7" w:rsidRPr="003942F7" w14:paraId="11E0A023" w14:textId="77777777" w:rsidTr="003942F7">
        <w:tc>
          <w:tcPr>
            <w:tcW w:w="1208" w:type="dxa"/>
          </w:tcPr>
          <w:p w14:paraId="0AC5CE2F"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0x4b7</w:t>
            </w:r>
          </w:p>
        </w:tc>
        <w:tc>
          <w:tcPr>
            <w:tcW w:w="6804" w:type="dxa"/>
          </w:tcPr>
          <w:p w14:paraId="6183A1BC" w14:textId="2C6F2693" w:rsidR="003942F7" w:rsidRPr="003942F7" w:rsidRDefault="003942F7" w:rsidP="00793FA2">
            <w:pPr>
              <w:keepNext/>
              <w:keepLines/>
              <w:rPr>
                <w:rFonts w:ascii="Courier" w:hAnsi="Courier"/>
                <w:sz w:val="20"/>
                <w:szCs w:val="20"/>
              </w:rPr>
            </w:pPr>
            <w:r w:rsidRPr="003942F7">
              <w:rPr>
                <w:rFonts w:ascii="Courier" w:hAnsi="Courier"/>
                <w:sz w:val="20"/>
                <w:szCs w:val="20"/>
              </w:rPr>
              <w:t>ALICE Histogram Packetized (CDH 2)/ALI</w:t>
            </w:r>
          </w:p>
        </w:tc>
      </w:tr>
      <w:tr w:rsidR="003942F7" w:rsidRPr="003942F7" w14:paraId="4C3961C1" w14:textId="77777777" w:rsidTr="003942F7">
        <w:tc>
          <w:tcPr>
            <w:tcW w:w="1208" w:type="dxa"/>
          </w:tcPr>
          <w:p w14:paraId="716C1556"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0x4c0</w:t>
            </w:r>
          </w:p>
        </w:tc>
        <w:tc>
          <w:tcPr>
            <w:tcW w:w="6804" w:type="dxa"/>
          </w:tcPr>
          <w:p w14:paraId="5A7B6E0A" w14:textId="3F27AB0C" w:rsidR="003942F7" w:rsidRPr="003942F7" w:rsidRDefault="003942F7" w:rsidP="00793FA2">
            <w:pPr>
              <w:keepNext/>
              <w:keepLines/>
              <w:rPr>
                <w:rFonts w:ascii="Courier" w:hAnsi="Courier"/>
                <w:sz w:val="20"/>
                <w:szCs w:val="20"/>
              </w:rPr>
            </w:pPr>
            <w:r w:rsidRPr="003942F7">
              <w:rPr>
                <w:rFonts w:ascii="Courier" w:hAnsi="Courier"/>
                <w:sz w:val="20"/>
                <w:szCs w:val="20"/>
              </w:rPr>
              <w:t xml:space="preserve">ALICE High-Cadence </w:t>
            </w:r>
            <w:proofErr w:type="spellStart"/>
            <w:r w:rsidRPr="003942F7">
              <w:rPr>
                <w:rFonts w:ascii="Courier" w:hAnsi="Courier"/>
                <w:sz w:val="20"/>
                <w:szCs w:val="20"/>
              </w:rPr>
              <w:t>CountRate</w:t>
            </w:r>
            <w:proofErr w:type="spellEnd"/>
            <w:r w:rsidRPr="003942F7">
              <w:rPr>
                <w:rFonts w:ascii="Courier" w:hAnsi="Courier"/>
                <w:sz w:val="20"/>
                <w:szCs w:val="20"/>
              </w:rPr>
              <w:t xml:space="preserve"> Lossless (CDH 1)/ALI</w:t>
            </w:r>
          </w:p>
        </w:tc>
      </w:tr>
      <w:tr w:rsidR="003942F7" w:rsidRPr="003942F7" w14:paraId="6AD9C270" w14:textId="77777777" w:rsidTr="003942F7">
        <w:tc>
          <w:tcPr>
            <w:tcW w:w="1208" w:type="dxa"/>
          </w:tcPr>
          <w:p w14:paraId="50680713"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0x4c1</w:t>
            </w:r>
          </w:p>
        </w:tc>
        <w:tc>
          <w:tcPr>
            <w:tcW w:w="6804" w:type="dxa"/>
          </w:tcPr>
          <w:p w14:paraId="41E43533" w14:textId="6FD9B66F" w:rsidR="003942F7" w:rsidRPr="003942F7" w:rsidRDefault="003942F7" w:rsidP="00793FA2">
            <w:pPr>
              <w:keepNext/>
              <w:keepLines/>
              <w:rPr>
                <w:rFonts w:ascii="Courier" w:hAnsi="Courier"/>
                <w:sz w:val="20"/>
                <w:szCs w:val="20"/>
              </w:rPr>
            </w:pPr>
            <w:r w:rsidRPr="003942F7">
              <w:rPr>
                <w:rFonts w:ascii="Courier" w:hAnsi="Courier"/>
                <w:sz w:val="20"/>
                <w:szCs w:val="20"/>
              </w:rPr>
              <w:t xml:space="preserve">ALICE High-Cadence </w:t>
            </w:r>
            <w:proofErr w:type="spellStart"/>
            <w:r w:rsidRPr="003942F7">
              <w:rPr>
                <w:rFonts w:ascii="Courier" w:hAnsi="Courier"/>
                <w:sz w:val="20"/>
                <w:szCs w:val="20"/>
              </w:rPr>
              <w:t>CountRate</w:t>
            </w:r>
            <w:proofErr w:type="spellEnd"/>
            <w:r w:rsidRPr="003942F7">
              <w:rPr>
                <w:rFonts w:ascii="Courier" w:hAnsi="Courier"/>
                <w:sz w:val="20"/>
                <w:szCs w:val="20"/>
              </w:rPr>
              <w:t xml:space="preserve"> Packetized (CDH 1)/ALI</w:t>
            </w:r>
          </w:p>
        </w:tc>
      </w:tr>
      <w:tr w:rsidR="003942F7" w:rsidRPr="003942F7" w14:paraId="33A5209F" w14:textId="77777777" w:rsidTr="003942F7">
        <w:tc>
          <w:tcPr>
            <w:tcW w:w="1208" w:type="dxa"/>
          </w:tcPr>
          <w:p w14:paraId="3F052585"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0x4c4</w:t>
            </w:r>
          </w:p>
        </w:tc>
        <w:tc>
          <w:tcPr>
            <w:tcW w:w="6804" w:type="dxa"/>
          </w:tcPr>
          <w:p w14:paraId="437D2945" w14:textId="0E38C0AE" w:rsidR="003942F7" w:rsidRPr="003942F7" w:rsidRDefault="003942F7" w:rsidP="00793FA2">
            <w:pPr>
              <w:keepNext/>
              <w:keepLines/>
              <w:rPr>
                <w:rFonts w:ascii="Courier" w:hAnsi="Courier"/>
                <w:sz w:val="20"/>
                <w:szCs w:val="20"/>
              </w:rPr>
            </w:pPr>
            <w:r w:rsidRPr="003942F7">
              <w:rPr>
                <w:rFonts w:ascii="Courier" w:hAnsi="Courier"/>
                <w:sz w:val="20"/>
                <w:szCs w:val="20"/>
              </w:rPr>
              <w:t xml:space="preserve">ALICE High-Cadence </w:t>
            </w:r>
            <w:proofErr w:type="spellStart"/>
            <w:r w:rsidRPr="003942F7">
              <w:rPr>
                <w:rFonts w:ascii="Courier" w:hAnsi="Courier"/>
                <w:sz w:val="20"/>
                <w:szCs w:val="20"/>
              </w:rPr>
              <w:t>CountRate</w:t>
            </w:r>
            <w:proofErr w:type="spellEnd"/>
            <w:r w:rsidRPr="003942F7">
              <w:rPr>
                <w:rFonts w:ascii="Courier" w:hAnsi="Courier"/>
                <w:sz w:val="20"/>
                <w:szCs w:val="20"/>
              </w:rPr>
              <w:t xml:space="preserve"> Lossless (CDH 2)/ALI</w:t>
            </w:r>
          </w:p>
        </w:tc>
      </w:tr>
      <w:tr w:rsidR="003942F7" w:rsidRPr="003942F7" w14:paraId="175CB621" w14:textId="77777777" w:rsidTr="003942F7">
        <w:tc>
          <w:tcPr>
            <w:tcW w:w="1208" w:type="dxa"/>
          </w:tcPr>
          <w:p w14:paraId="60E14475"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0x4c5</w:t>
            </w:r>
          </w:p>
        </w:tc>
        <w:tc>
          <w:tcPr>
            <w:tcW w:w="6804" w:type="dxa"/>
          </w:tcPr>
          <w:p w14:paraId="3D0C2E65" w14:textId="32448C88" w:rsidR="003942F7" w:rsidRPr="003942F7" w:rsidRDefault="003942F7" w:rsidP="00793FA2">
            <w:pPr>
              <w:keepNext/>
              <w:keepLines/>
              <w:rPr>
                <w:rFonts w:ascii="Courier" w:hAnsi="Courier"/>
                <w:sz w:val="20"/>
                <w:szCs w:val="20"/>
              </w:rPr>
            </w:pPr>
            <w:r w:rsidRPr="003942F7">
              <w:rPr>
                <w:rFonts w:ascii="Courier" w:hAnsi="Courier"/>
                <w:sz w:val="20"/>
                <w:szCs w:val="20"/>
              </w:rPr>
              <w:t xml:space="preserve">ALICE High-Cadence </w:t>
            </w:r>
            <w:proofErr w:type="spellStart"/>
            <w:r w:rsidRPr="003942F7">
              <w:rPr>
                <w:rFonts w:ascii="Courier" w:hAnsi="Courier"/>
                <w:sz w:val="20"/>
                <w:szCs w:val="20"/>
              </w:rPr>
              <w:t>CountRate</w:t>
            </w:r>
            <w:proofErr w:type="spellEnd"/>
            <w:r w:rsidRPr="003942F7">
              <w:rPr>
                <w:rFonts w:ascii="Courier" w:hAnsi="Courier"/>
                <w:sz w:val="20"/>
                <w:szCs w:val="20"/>
              </w:rPr>
              <w:t xml:space="preserve"> Packetized (CDH 2)/AL</w:t>
            </w:r>
          </w:p>
        </w:tc>
      </w:tr>
    </w:tbl>
    <w:p w14:paraId="34CF88BA" w14:textId="6EE582AA" w:rsidR="003942F7" w:rsidRDefault="003942F7" w:rsidP="00692D17"/>
    <w:p w14:paraId="4C716F92" w14:textId="3534268B" w:rsidR="00436981" w:rsidRDefault="0039708C" w:rsidP="0039708C">
      <w:r>
        <w:t xml:space="preserve">Note 1: CDH 1 and CDH 2 refer to the spacecraft redundant Command and Data Handling systems in general, and here specifically to their respective </w:t>
      </w:r>
      <w:proofErr w:type="gramStart"/>
      <w:r>
        <w:t>Solid State</w:t>
      </w:r>
      <w:proofErr w:type="gramEnd"/>
      <w:r>
        <w:t xml:space="preserve"> Recorders (SSRs) 1 and 2, where </w:t>
      </w:r>
      <w:r w:rsidR="00226037">
        <w:t>Alice</w:t>
      </w:r>
      <w:r>
        <w:t xml:space="preserve"> data be stored and prepared for downlink.  </w:t>
      </w:r>
      <w:r w:rsidR="00226037">
        <w:t>Alice</w:t>
      </w:r>
      <w:r>
        <w:t xml:space="preserve"> can send data to SSR 1 or to SSR 2, or, for mission-critical data, to both redundantly.  </w:t>
      </w:r>
      <w:r w:rsidR="00226037">
        <w:t>Alice</w:t>
      </w:r>
      <w:r>
        <w:t xml:space="preserve"> shares its channel to the SSRs with the Long-Range Reconnaissance Imager (LORRI), so both instruments cannot store data simultaneously.  </w:t>
      </w:r>
      <w:r w:rsidR="00226037">
        <w:t>Alice</w:t>
      </w:r>
      <w:r>
        <w:t xml:space="preserve"> has the capability to store histogram data to instrument-internal storage, and to transfer it to the SSR(s) later; such an operation is called a Held Histogram, and it allows </w:t>
      </w:r>
      <w:r w:rsidR="00226037">
        <w:t>Alice</w:t>
      </w:r>
      <w:r>
        <w:t xml:space="preserve"> to take data at the same time that LORRI is taking and writing data to the SSR(s)</w:t>
      </w:r>
      <w:r w:rsidR="00436981">
        <w:t>.</w:t>
      </w:r>
    </w:p>
    <w:p w14:paraId="501306A4" w14:textId="68FCB9E2" w:rsidR="00436981" w:rsidRDefault="0039708C" w:rsidP="0039708C">
      <w:r>
        <w:t xml:space="preserve">Note 2: Packetized </w:t>
      </w:r>
      <w:r w:rsidR="009975BB">
        <w:t xml:space="preserve">(i.e. uncompressed in PDS4) </w:t>
      </w:r>
      <w:r>
        <w:t xml:space="preserve">and Lossless refer to the method used on-board to convert raw, high-speed instrument data on the SSR to low-speed data ready for downlink.  The conversion process is generally referred to as compression, even though Packetized conversion does not reduce the data volume.  In practice, </w:t>
      </w:r>
      <w:proofErr w:type="spellStart"/>
      <w:r>
        <w:t>PixelList</w:t>
      </w:r>
      <w:proofErr w:type="spellEnd"/>
      <w:r>
        <w:t xml:space="preserve"> data always use Packetized compression.  Histogram and High-Cadence </w:t>
      </w:r>
      <w:proofErr w:type="spellStart"/>
      <w:r>
        <w:t>CountRate</w:t>
      </w:r>
      <w:proofErr w:type="spellEnd"/>
      <w:r>
        <w:t xml:space="preserve"> (HCCR) data may use Packetized or Lossless compression.  Depending on the actual data contents, Lossless compression reduces Histogram data volume by 60 to 90% or more; for nominal science data a factor of 3 or more is normal.  Tests show HCCR data do not compress much. Lossless compression is used whenever possible to reduce downlink data volume.  There is no difference, between Packetized and Lossless compression, in the resultant FITS files after processing by the Science Operations Center (SOC) data pipeline</w:t>
      </w:r>
      <w:r w:rsidR="00436981">
        <w:t>.</w:t>
      </w:r>
    </w:p>
    <w:p w14:paraId="24C9B551" w14:textId="5E87BE23" w:rsidR="00436981" w:rsidRDefault="00692D17" w:rsidP="00692D17">
      <w:r>
        <w:t xml:space="preserve">There are other </w:t>
      </w:r>
      <w:proofErr w:type="spellStart"/>
      <w:r>
        <w:t>ApIDs</w:t>
      </w:r>
      <w:proofErr w:type="spellEnd"/>
      <w:r>
        <w:t xml:space="preserve"> that contain housekeeping values and other values</w:t>
      </w:r>
      <w:r w:rsidR="005D2FF0">
        <w:t xml:space="preserve">.  </w:t>
      </w:r>
      <w:r>
        <w:t xml:space="preserve">See </w:t>
      </w:r>
      <w:r w:rsidR="00D50E65">
        <w:t xml:space="preserve">the </w:t>
      </w:r>
      <w:r>
        <w:t xml:space="preserve">SOC Instrument ICD for more details: </w:t>
      </w:r>
      <w:proofErr w:type="spellStart"/>
      <w:proofErr w:type="gramStart"/>
      <w:r w:rsidR="00CD458E" w:rsidRPr="0034431A">
        <w:rPr>
          <w:rStyle w:val="FixedWidthChar"/>
          <w:rFonts w:ascii="Courier New" w:hAnsi="Courier New" w:cs="Courier New"/>
        </w:rPr>
        <w:t>urn:nasa</w:t>
      </w:r>
      <w:proofErr w:type="gramEnd"/>
      <w:r w:rsidR="00CD458E" w:rsidRPr="0034431A">
        <w:rPr>
          <w:rStyle w:val="FixedWidthChar"/>
          <w:rFonts w:ascii="Courier New" w:hAnsi="Courier New" w:cs="Courier New"/>
        </w:rPr>
        <w:t>:pds:nh_documents:mission:soc_inst_icd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0B8F987E" w:rsidR="00842B8D" w:rsidRDefault="00842B8D" w:rsidP="007D5F55">
      <w:r>
        <w:t>Refer to the following files for a description of this instrument.</w:t>
      </w:r>
      <w:r w:rsidR="007D5F55">
        <w:t>:</w:t>
      </w:r>
    </w:p>
    <w:p w14:paraId="67E67350" w14:textId="71D2C571" w:rsidR="00842B8D" w:rsidRDefault="00842B8D" w:rsidP="007D5F55">
      <w:pPr>
        <w:pStyle w:val="ListParagraph"/>
        <w:numPr>
          <w:ilvl w:val="0"/>
          <w:numId w:val="13"/>
        </w:numPr>
      </w:pPr>
      <w:r>
        <w:t xml:space="preserve">New Horizon </w:t>
      </w:r>
      <w:r w:rsidR="00226037">
        <w:t>Alice</w:t>
      </w:r>
      <w:r>
        <w:t xml:space="preserve"> instrument overview: </w:t>
      </w:r>
      <w:proofErr w:type="spellStart"/>
      <w:proofErr w:type="gramStart"/>
      <w:r w:rsidRPr="007D5F55">
        <w:rPr>
          <w:rStyle w:val="FixedWidthChar"/>
        </w:rPr>
        <w:t>urn:nasa</w:t>
      </w:r>
      <w:proofErr w:type="gramEnd"/>
      <w:r w:rsidRPr="007D5F55">
        <w:rPr>
          <w:rStyle w:val="FixedWidthChar"/>
        </w:rPr>
        <w:t>:pds:nh_documents:</w:t>
      </w:r>
      <w:r w:rsidR="00592975">
        <w:rPr>
          <w:rStyle w:val="FixedWidthChar"/>
        </w:rPr>
        <w:t>alice</w:t>
      </w:r>
      <w:r w:rsidRPr="007D5F55">
        <w:rPr>
          <w:rStyle w:val="FixedWidthChar"/>
        </w:rPr>
        <w:t>:</w:t>
      </w:r>
      <w:r w:rsidR="00592975">
        <w:rPr>
          <w:rStyle w:val="FixedWidthChar"/>
        </w:rPr>
        <w:t>alice</w:t>
      </w:r>
      <w:r w:rsidRPr="007D5F55">
        <w:rPr>
          <w:rStyle w:val="FixedWidthChar"/>
        </w:rPr>
        <w:t>_inst_overview</w:t>
      </w:r>
      <w:proofErr w:type="spellEnd"/>
    </w:p>
    <w:p w14:paraId="28A223A4" w14:textId="3AC29906" w:rsidR="00842B8D" w:rsidRPr="007D5F55" w:rsidRDefault="00E417A7" w:rsidP="00CF060E">
      <w:pPr>
        <w:pStyle w:val="ListParagraph"/>
        <w:numPr>
          <w:ilvl w:val="0"/>
          <w:numId w:val="13"/>
        </w:numPr>
        <w:rPr>
          <w:rStyle w:val="FixedWidthChar"/>
        </w:rPr>
      </w:pPr>
      <w:r>
        <w:t>Alice</w:t>
      </w:r>
      <w:r w:rsidR="007D5F55">
        <w:t xml:space="preserve"> Space Science Review (SSR) paper</w:t>
      </w:r>
      <w:r w:rsidR="00842B8D">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:pds:nh_documents:alice:alice_ssr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5BDBDE72" w14:textId="693DBBB7" w:rsidR="00842B8D" w:rsidRPr="008947C5" w:rsidRDefault="008947C5" w:rsidP="00F018C7">
      <w:pPr>
        <w:pStyle w:val="ListParagraph"/>
        <w:numPr>
          <w:ilvl w:val="0"/>
          <w:numId w:val="13"/>
        </w:numPr>
        <w:rPr>
          <w:rFonts w:ascii="Courier" w:hAnsi="Courier" w:cs="Courier"/>
          <w:color w:val="000000"/>
          <w:sz w:val="20"/>
          <w:szCs w:val="20"/>
        </w:rPr>
      </w:pPr>
      <w:r>
        <w:t>Alice</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Pr="008947C5">
        <w:rPr>
          <w:rFonts w:ascii="Courier Prime" w:hAnsi="Courier Prime"/>
          <w:sz w:val="20"/>
        </w:rPr>
        <w:t>urn:nasa</w:t>
      </w:r>
      <w:proofErr w:type="gramEnd"/>
      <w:r w:rsidRPr="008947C5">
        <w:rPr>
          <w:rFonts w:ascii="Courier Prime" w:hAnsi="Courier Prime"/>
          <w:sz w:val="20"/>
        </w:rPr>
        <w:t>:pds:nh_documents:alice:nh_alice_ti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045B74D4" w14:textId="081FA0AB" w:rsidR="00842B8D" w:rsidRDefault="007D5F55" w:rsidP="007D5F55">
      <w:pPr>
        <w:pStyle w:val="ListParagraph"/>
        <w:numPr>
          <w:ilvl w:val="0"/>
          <w:numId w:val="14"/>
        </w:numPr>
      </w:pPr>
      <w:r>
        <w:t>Field of View Illustration</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:pds:nh_documents:mission:nh_fov</w:t>
      </w:r>
      <w:proofErr w:type="spellEnd"/>
    </w:p>
    <w:p w14:paraId="7E600564" w14:textId="7C2E86B1" w:rsidR="007D5F55" w:rsidRPr="007D5F55" w:rsidRDefault="008947C5" w:rsidP="007D5F55">
      <w:pPr>
        <w:pStyle w:val="ListParagraph"/>
        <w:numPr>
          <w:ilvl w:val="0"/>
          <w:numId w:val="14"/>
        </w:numPr>
        <w:rPr>
          <w:rStyle w:val="FixedWidthChar"/>
        </w:rPr>
      </w:pPr>
      <w:r>
        <w:t>Alice</w:t>
      </w:r>
      <w:r w:rsidR="007D5F55" w:rsidRPr="007D5F55">
        <w:t xml:space="preserve"> SPICE Instrument Kernel:</w:t>
      </w:r>
      <w:r w:rsidR="007D5F55" w:rsidRPr="007D5F55">
        <w:rPr>
          <w:rFonts w:ascii="Courier" w:hAnsi="Courier" w:cs="Courier"/>
          <w:color w:val="000000"/>
          <w:sz w:val="20"/>
          <w:szCs w:val="20"/>
        </w:rPr>
        <w:t xml:space="preserve"> </w:t>
      </w:r>
      <w:proofErr w:type="spellStart"/>
      <w:proofErr w:type="gramStart"/>
      <w:r w:rsidRPr="008947C5">
        <w:rPr>
          <w:rFonts w:ascii="Courier Prime" w:hAnsi="Courier Prime"/>
          <w:sz w:val="20"/>
        </w:rPr>
        <w:t>urn:nasa</w:t>
      </w:r>
      <w:proofErr w:type="gramEnd"/>
      <w:r w:rsidRPr="008947C5">
        <w:rPr>
          <w:rFonts w:ascii="Courier Prime" w:hAnsi="Courier Prime"/>
          <w:sz w:val="20"/>
        </w:rPr>
        <w:t>:pds:nh_documents:alice:nh_alice_ti</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7C9B8517" w14:textId="7BA49CC7" w:rsidR="00842B8D"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proofErr w:type="gramStart"/>
      <w:r>
        <w:t>nh:observation</w:t>
      </w:r>
      <w:proofErr w:type="gramEnd"/>
      <w:r>
        <w:t>_description</w:t>
      </w:r>
      <w:proofErr w:type="spellEnd"/>
      <w:r>
        <w:t xml:space="preserve"> and </w:t>
      </w:r>
      <w:proofErr w:type="spellStart"/>
      <w:r>
        <w:t>nh:sequence_id</w:t>
      </w:r>
      <w:proofErr w:type="spellEnd"/>
      <w:r>
        <w:t xml:space="preserve"> keywords in the PDS label, plus the provided sequence list (</w:t>
      </w:r>
      <w:r w:rsidR="008947C5" w:rsidRPr="008947C5">
        <w:rPr>
          <w:rStyle w:val="FixedWidthChar"/>
        </w:rPr>
        <w:t>urn:nasa:pds:nh_documents:alice:seq_alice_kem</w:t>
      </w:r>
      <w:r w:rsidR="000F1F96">
        <w:rPr>
          <w:rStyle w:val="FixedWidthChar"/>
        </w:rPr>
        <w:t>2</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3373E206" w14:textId="1D16FAA5" w:rsidR="00436981" w:rsidRDefault="008947C5" w:rsidP="007D5F55">
      <w:r w:rsidRPr="008947C5">
        <w:t xml:space="preserve">Specifically for </w:t>
      </w:r>
      <w:r w:rsidR="00226037">
        <w:t>Alice</w:t>
      </w:r>
      <w:r w:rsidRPr="008947C5">
        <w:t xml:space="preserve"> observations, any observation that has an observation description or sequence ID that includes the words dump or held will usually have </w:t>
      </w:r>
      <w:r w:rsidR="009975BB">
        <w:t>None</w:t>
      </w:r>
      <w:r w:rsidRPr="008947C5">
        <w:t xml:space="preserve"> as its target, but that indicates the observation was actually taken as part of an earlier sequence and held locally in instrument memory (i.e. a Held Histogram; see the Notes in the Data section below), and the Dump sequence represents the commands that transferred the instrument data onto the spacecraft Solid-State Recorders (SSRs).  In the cases of Held Histograms, the user should check the previous sequence in the sequence list.  For other cases note that if the characters _P_, _C_, or _PC_ are in the sequence ID, then the intended target was likely Pluto, Charon, or Pluto and Charon together, respectively</w:t>
      </w:r>
      <w:r w:rsidR="00436981">
        <w:t>.</w:t>
      </w:r>
    </w:p>
    <w:p w14:paraId="0E1CA961" w14:textId="36D20E1B" w:rsidR="00842B8D" w:rsidRDefault="00842B8D" w:rsidP="002B1F3E">
      <w:pPr>
        <w:pStyle w:val="Heading1"/>
        <w:rPr>
          <w:rFonts w:eastAsia="Courier"/>
        </w:rPr>
      </w:pPr>
      <w:r>
        <w:rPr>
          <w:rFonts w:eastAsia="Courier"/>
        </w:rPr>
        <w:t>Ancillary Data</w:t>
      </w:r>
    </w:p>
    <w:p w14:paraId="0977399B" w14:textId="77777777" w:rsidR="00436981" w:rsidRDefault="00842B8D" w:rsidP="007D5F55">
      <w:r>
        <w:t>The geometry items included in the data labels were computed using the SPICE kernels archived in the New Horizons SPICE data set, NH-J/P/SS-SPICE-6-V1.0</w:t>
      </w:r>
      <w:r w:rsidR="00436981">
        <w:t>.</w:t>
      </w:r>
    </w:p>
    <w:p w14:paraId="78A32DFF" w14:textId="2AF550EB" w:rsidR="007D1661" w:rsidRDefault="007D1661" w:rsidP="007D1661">
      <w:r>
        <w:t xml:space="preserve">Every observation provided in this data set was taken as a part of a particular sequence.  A list of these sequences has been provided within the NH Alice document collection </w:t>
      </w:r>
      <w:r w:rsidR="00522CCA">
        <w:t>(PDS4 LID</w:t>
      </w:r>
      <w:r>
        <w:t xml:space="preserve"> </w:t>
      </w:r>
      <w:proofErr w:type="spellStart"/>
      <w:proofErr w:type="gramStart"/>
      <w:r w:rsidRPr="008947C5">
        <w:rPr>
          <w:rStyle w:val="FixedWidthChar"/>
        </w:rPr>
        <w:t>urn:nasa</w:t>
      </w:r>
      <w:proofErr w:type="gramEnd"/>
      <w:r w:rsidRPr="008947C5">
        <w:rPr>
          <w:rStyle w:val="FixedWidthChar"/>
        </w:rPr>
        <w:t>:pds:nh_document</w:t>
      </w:r>
      <w:r>
        <w:rPr>
          <w:rStyle w:val="FixedWidthChar"/>
        </w:rPr>
        <w:t>s:alice</w:t>
      </w:r>
      <w:proofErr w:type="spellEnd"/>
      <w:r>
        <w:t>) within the PDS, one file for each mission phase.  The sequence identifier and description are included in the PDS label for every observation.</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4DEDB5C4" w:rsidR="00436981" w:rsidRDefault="00842B8D" w:rsidP="007D5F55">
      <w:r>
        <w:t xml:space="preserve">There are several time systems, or units, in use in this dataset: New Horizons spacecraft MET (Mission Event Time or Mission Elapsed Time), UTC (Coordinated Universal Time), and </w:t>
      </w:r>
      <w:r w:rsidR="004D7537" w:rsidRPr="004D7537">
        <w:t>TDB (Barycentric Dynamical Time)</w:t>
      </w:r>
      <w:r w:rsidR="004D7537">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E96A01D"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a number of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77777777" w:rsidR="00436981" w:rsidRDefault="00842B8D" w:rsidP="009A1063">
      <w:r>
        <w:t>Every observation provided in this data set was taken as a part of a particular sequence</w:t>
      </w:r>
      <w:r w:rsidR="00436981">
        <w:t>.</w:t>
      </w:r>
    </w:p>
    <w:p w14:paraId="7CB08A79" w14:textId="1AAD276F" w:rsidR="00842B8D" w:rsidRDefault="00842B8D" w:rsidP="009A1063">
      <w:r>
        <w:t>Refer to the Confidence Level Overview section above for a summary of steps taken to assure data quality.</w:t>
      </w:r>
    </w:p>
    <w:p w14:paraId="46ECAAA4" w14:textId="6516C157" w:rsidR="00842B8D" w:rsidRDefault="009A1063" w:rsidP="007D5F55">
      <w:r w:rsidRPr="009A1063">
        <w:t xml:space="preserve">The lollipop-shaped fuzz in images of some </w:t>
      </w:r>
      <w:r w:rsidR="00226037">
        <w:t>Alice</w:t>
      </w:r>
      <w:r w:rsidRPr="009A1063">
        <w:t xml:space="preserve"> spectra, seen as high signal levels at the box end of the slit around Hydrogen Lyman-alpha (H Lya) wavelengths, is due to a characteristic of the detector and aperture.  To make the Micro Channel Plate (MCP) more sensitive to UV light, it was coated with potassium bromide (KBr) photocathodes from 520 to 1180 Angstrom and with cesium iodide (</w:t>
      </w:r>
      <w:proofErr w:type="spellStart"/>
      <w:r w:rsidRPr="009A1063">
        <w:t>CsI</w:t>
      </w:r>
      <w:proofErr w:type="spellEnd"/>
      <w:r w:rsidRPr="009A1063">
        <w:t>) photocathodes from 1250 to 1870 Angstrom</w:t>
      </w:r>
      <w:r w:rsidR="005D2FF0">
        <w:t xml:space="preserve">.  </w:t>
      </w:r>
      <w:r w:rsidRPr="009A1063">
        <w:t>A vertical strip - a spectral band of 70 Angstrom centered at ~1216 Angstrom - of the MCP was masked and left uncoated to reduce the sensitivity of the detector to H Lya radiation</w:t>
      </w:r>
      <w:r w:rsidR="005D2FF0">
        <w:t xml:space="preserve">.  </w:t>
      </w:r>
      <w:r w:rsidRPr="009A1063">
        <w:t>In the slit portion of the aperture (0.1deg wide x 4deg high), the diffraction grating keeps the strong H Lya line within that uncoated band</w:t>
      </w:r>
      <w:r w:rsidR="005D2FF0">
        <w:t xml:space="preserve">.  </w:t>
      </w:r>
      <w:r w:rsidRPr="009A1063">
        <w:t>However, in the 2x2 degree box portion of the aperture designed to capture the Sun during occultations, the H Lya spreads out beyond the uncoated 70-Angstrom band over another ~55 Angstroms of more sensitive photocathode-coated detector on either side</w:t>
      </w:r>
      <w:r w:rsidR="005D2FF0">
        <w:t xml:space="preserve">.  </w:t>
      </w:r>
      <w:r w:rsidRPr="009A1063">
        <w:t>The quantum efficiencies of the photocathode- coated surfaces are about an order of magnitude more sensitive to H Lya wavelengths than the bare, uncoated glass, which gives rise to high signal levels from the box area of the slit i.e. the lollipop fuzz.</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7D5F55">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7D5F55">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77777777"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t>Alice</w:t>
      </w:r>
      <w:r w:rsidRPr="007D5F55">
        <w:t xml:space="preserve"> Principal Investigator: Alan Stern, Southwest Research Institute</w:t>
      </w:r>
    </w:p>
    <w:p w14:paraId="51454912" w14:textId="5690DBCB" w:rsidR="009A1063" w:rsidRDefault="007023BD" w:rsidP="007023BD">
      <w:pPr>
        <w:pStyle w:val="FixedWidth"/>
        <w:keepNext/>
        <w:keepLines/>
        <w:ind w:left="851"/>
        <w:rPr>
          <w:rFonts w:asciiTheme="minorHAnsi" w:hAnsiTheme="minorHAnsi" w:cstheme="minorHAnsi"/>
          <w:sz w:val="24"/>
        </w:rPr>
      </w:pPr>
      <w:r w:rsidRPr="00245654">
        <w:rPr>
          <w:rFonts w:asciiTheme="minorHAnsi" w:hAnsiTheme="minorHAnsi" w:cstheme="minorHAnsi"/>
          <w:sz w:val="24"/>
        </w:rPr>
        <w:t>S. Alan Stern</w:t>
      </w:r>
      <w:r>
        <w:rPr>
          <w:rFonts w:asciiTheme="minorHAnsi" w:hAnsiTheme="minorHAnsi" w:cstheme="minorHAnsi"/>
          <w:sz w:val="24"/>
        </w:rPr>
        <w:br/>
      </w:r>
      <w:r w:rsidRPr="00245654">
        <w:rPr>
          <w:rFonts w:asciiTheme="minorHAnsi" w:hAnsiTheme="minorHAnsi" w:cstheme="minorHAnsi"/>
          <w:sz w:val="24"/>
        </w:rPr>
        <w:t>Southwest Research Institute (SwRI)</w:t>
      </w:r>
      <w:r>
        <w:rPr>
          <w:rFonts w:asciiTheme="minorHAnsi" w:hAnsiTheme="minorHAnsi" w:cstheme="minorHAnsi"/>
          <w:sz w:val="24"/>
        </w:rPr>
        <w:br/>
      </w:r>
      <w:r w:rsidRPr="00245654">
        <w:rPr>
          <w:rFonts w:asciiTheme="minorHAnsi" w:hAnsiTheme="minorHAnsi" w:cstheme="minorHAnsi"/>
          <w:sz w:val="24"/>
        </w:rPr>
        <w:t>Department of Space Studies</w:t>
      </w:r>
      <w:r>
        <w:rPr>
          <w:rFonts w:asciiTheme="minorHAnsi" w:hAnsiTheme="minorHAnsi" w:cstheme="minorHAnsi"/>
          <w:sz w:val="24"/>
        </w:rPr>
        <w:br/>
        <w:t>1301</w:t>
      </w:r>
      <w:r w:rsidRPr="00245654">
        <w:rPr>
          <w:rFonts w:asciiTheme="minorHAnsi" w:hAnsiTheme="minorHAnsi" w:cstheme="minorHAnsi"/>
          <w:sz w:val="24"/>
        </w:rPr>
        <w:t xml:space="preserve"> Walnut Street</w:t>
      </w:r>
      <w:r>
        <w:rPr>
          <w:rFonts w:asciiTheme="minorHAnsi" w:hAnsiTheme="minorHAnsi" w:cstheme="minorHAnsi"/>
          <w:sz w:val="24"/>
        </w:rPr>
        <w:br/>
      </w:r>
      <w:r w:rsidRPr="00245654">
        <w:rPr>
          <w:rFonts w:asciiTheme="minorHAnsi" w:hAnsiTheme="minorHAnsi" w:cstheme="minorHAnsi"/>
          <w:sz w:val="24"/>
        </w:rPr>
        <w:t>Boulder, CO  80302</w:t>
      </w:r>
      <w:r>
        <w:rPr>
          <w:rFonts w:asciiTheme="minorHAnsi" w:hAnsiTheme="minorHAnsi" w:cstheme="minorHAnsi"/>
          <w:sz w:val="24"/>
        </w:rPr>
        <w:br/>
      </w:r>
      <w:r w:rsidRPr="00245654">
        <w:rPr>
          <w:rFonts w:asciiTheme="minorHAnsi" w:hAnsiTheme="minorHAnsi" w:cstheme="minorHAnsi"/>
          <w:sz w:val="24"/>
        </w:rPr>
        <w:t>USA</w:t>
      </w:r>
    </w:p>
    <w:p w14:paraId="1A961B1E" w14:textId="0699F4DD" w:rsidR="007525F0" w:rsidRDefault="007525F0" w:rsidP="007525F0">
      <w:pPr>
        <w:pStyle w:val="Heading1"/>
        <w:rPr>
          <w:rFonts w:eastAsia="Courier"/>
        </w:rPr>
      </w:pPr>
      <w:r>
        <w:rPr>
          <w:rFonts w:eastAsia="Courier"/>
        </w:rPr>
        <w:t>Further Reading</w:t>
      </w:r>
    </w:p>
    <w:p w14:paraId="6C51D646" w14:textId="15B4B5D3" w:rsidR="007525F0" w:rsidRPr="007525F0" w:rsidRDefault="007525F0" w:rsidP="007525F0">
      <w:r w:rsidRPr="004147BB">
        <w:t xml:space="preserve">Steffl, A.J., J. Peterson, B. Carcich, L. Nguyen, </w:t>
      </w:r>
      <w:r>
        <w:t xml:space="preserve">and </w:t>
      </w:r>
      <w:r w:rsidRPr="004147BB">
        <w:t>S.A. Stern</w:t>
      </w:r>
      <w:r>
        <w:t>,</w:t>
      </w:r>
      <w:r w:rsidRPr="004147BB">
        <w:t xml:space="preserve"> NEW HORIZONS SPICE KERNELS, V1.0, NH-J/P/SS-SPICE-6-V1.0, NASA Planetary Data System, 2007. </w:t>
      </w:r>
      <w:hyperlink r:id="rId9" w:history="1">
        <w:r w:rsidRPr="00207888">
          <w:rPr>
            <w:rStyle w:val="Hyperlink"/>
          </w:rPr>
          <w:t>https://doi.org/10.17189/1520109</w:t>
        </w:r>
      </w:hyperlink>
    </w:p>
    <w:sectPr w:rsidR="007525F0" w:rsidRPr="007525F0">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14123" w14:textId="77777777" w:rsidR="00DC3E38" w:rsidRDefault="00DC3E38" w:rsidP="004D7537">
      <w:pPr>
        <w:spacing w:after="0"/>
      </w:pPr>
      <w:r>
        <w:separator/>
      </w:r>
    </w:p>
  </w:endnote>
  <w:endnote w:type="continuationSeparator" w:id="0">
    <w:p w14:paraId="2C6492C2" w14:textId="77777777" w:rsidR="00DC3E38" w:rsidRDefault="00DC3E38" w:rsidP="004D753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altName w:val="Courier New"/>
    <w:panose1 w:val="020B0604020202020204"/>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C2AD1" w14:textId="3FAA7BA4" w:rsidR="004D7537" w:rsidRPr="004D7537" w:rsidRDefault="004D7537">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12</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13</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AEA79" w14:textId="77777777" w:rsidR="00DC3E38" w:rsidRDefault="00DC3E38" w:rsidP="004D7537">
      <w:pPr>
        <w:spacing w:after="0"/>
      </w:pPr>
      <w:r>
        <w:separator/>
      </w:r>
    </w:p>
  </w:footnote>
  <w:footnote w:type="continuationSeparator" w:id="0">
    <w:p w14:paraId="2A71AB0C" w14:textId="77777777" w:rsidR="00DC3E38" w:rsidRDefault="00DC3E38" w:rsidP="004D753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4"/>
  </w:num>
  <w:num w:numId="4" w16cid:durableId="43602599">
    <w:abstractNumId w:val="7"/>
  </w:num>
  <w:num w:numId="5" w16cid:durableId="666398445">
    <w:abstractNumId w:val="11"/>
  </w:num>
  <w:num w:numId="6" w16cid:durableId="1908954111">
    <w:abstractNumId w:val="5"/>
  </w:num>
  <w:num w:numId="7" w16cid:durableId="782655008">
    <w:abstractNumId w:val="13"/>
  </w:num>
  <w:num w:numId="8" w16cid:durableId="1625306317">
    <w:abstractNumId w:val="4"/>
  </w:num>
  <w:num w:numId="9" w16cid:durableId="952324960">
    <w:abstractNumId w:val="12"/>
  </w:num>
  <w:num w:numId="10" w16cid:durableId="1788162252">
    <w:abstractNumId w:val="16"/>
  </w:num>
  <w:num w:numId="11" w16cid:durableId="467600184">
    <w:abstractNumId w:val="8"/>
  </w:num>
  <w:num w:numId="12" w16cid:durableId="1031226943">
    <w:abstractNumId w:val="9"/>
  </w:num>
  <w:num w:numId="13" w16cid:durableId="863592292">
    <w:abstractNumId w:val="2"/>
  </w:num>
  <w:num w:numId="14" w16cid:durableId="1935042672">
    <w:abstractNumId w:val="15"/>
  </w:num>
  <w:num w:numId="15" w16cid:durableId="1407603688">
    <w:abstractNumId w:val="10"/>
  </w:num>
  <w:num w:numId="16" w16cid:durableId="842937569">
    <w:abstractNumId w:val="6"/>
  </w:num>
  <w:num w:numId="17" w16cid:durableId="150493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521F1"/>
    <w:rsid w:val="00091E41"/>
    <w:rsid w:val="000F1F96"/>
    <w:rsid w:val="001170E4"/>
    <w:rsid w:val="00123C8B"/>
    <w:rsid w:val="001A6335"/>
    <w:rsid w:val="001F2296"/>
    <w:rsid w:val="002049B3"/>
    <w:rsid w:val="0021026A"/>
    <w:rsid w:val="00226037"/>
    <w:rsid w:val="00245654"/>
    <w:rsid w:val="002651B1"/>
    <w:rsid w:val="0027167B"/>
    <w:rsid w:val="002918D5"/>
    <w:rsid w:val="002B1F3E"/>
    <w:rsid w:val="002B7D7B"/>
    <w:rsid w:val="002D4B3E"/>
    <w:rsid w:val="0034431A"/>
    <w:rsid w:val="003675E0"/>
    <w:rsid w:val="003942F7"/>
    <w:rsid w:val="0039708C"/>
    <w:rsid w:val="00436981"/>
    <w:rsid w:val="004D7537"/>
    <w:rsid w:val="00522CCA"/>
    <w:rsid w:val="00592975"/>
    <w:rsid w:val="00595A90"/>
    <w:rsid w:val="005A4FEC"/>
    <w:rsid w:val="005D2FF0"/>
    <w:rsid w:val="005F412D"/>
    <w:rsid w:val="0068327B"/>
    <w:rsid w:val="00692D17"/>
    <w:rsid w:val="006A2ADE"/>
    <w:rsid w:val="006B4AD6"/>
    <w:rsid w:val="006D505D"/>
    <w:rsid w:val="007023BD"/>
    <w:rsid w:val="007525F0"/>
    <w:rsid w:val="00763B90"/>
    <w:rsid w:val="00781AA9"/>
    <w:rsid w:val="0078622C"/>
    <w:rsid w:val="00793FA2"/>
    <w:rsid w:val="007A79CC"/>
    <w:rsid w:val="007C455B"/>
    <w:rsid w:val="007D1661"/>
    <w:rsid w:val="007D5F55"/>
    <w:rsid w:val="00822048"/>
    <w:rsid w:val="0082657D"/>
    <w:rsid w:val="00842B8D"/>
    <w:rsid w:val="008947C5"/>
    <w:rsid w:val="008948D3"/>
    <w:rsid w:val="008A1459"/>
    <w:rsid w:val="00975F7F"/>
    <w:rsid w:val="009975BB"/>
    <w:rsid w:val="009A1063"/>
    <w:rsid w:val="009A4A5E"/>
    <w:rsid w:val="009F4889"/>
    <w:rsid w:val="009F6363"/>
    <w:rsid w:val="00A3734B"/>
    <w:rsid w:val="00A46519"/>
    <w:rsid w:val="00A614CE"/>
    <w:rsid w:val="00AF1C73"/>
    <w:rsid w:val="00BA6C9B"/>
    <w:rsid w:val="00C16A41"/>
    <w:rsid w:val="00C2544B"/>
    <w:rsid w:val="00C61EE2"/>
    <w:rsid w:val="00C866EF"/>
    <w:rsid w:val="00CD458E"/>
    <w:rsid w:val="00D04FE9"/>
    <w:rsid w:val="00D14A76"/>
    <w:rsid w:val="00D50E65"/>
    <w:rsid w:val="00D85FB9"/>
    <w:rsid w:val="00D93631"/>
    <w:rsid w:val="00D94C1B"/>
    <w:rsid w:val="00DB70D2"/>
    <w:rsid w:val="00DC3E38"/>
    <w:rsid w:val="00DE2F6D"/>
    <w:rsid w:val="00E170FF"/>
    <w:rsid w:val="00E417A7"/>
    <w:rsid w:val="00E46168"/>
    <w:rsid w:val="00E46DB8"/>
    <w:rsid w:val="00F02ACE"/>
    <w:rsid w:val="00F45E5A"/>
    <w:rsid w:val="00F55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D7537"/>
    <w:pPr>
      <w:spacing w:after="0"/>
    </w:pPr>
  </w:style>
  <w:style w:type="paragraph" w:styleId="Header">
    <w:name w:val="header"/>
    <w:basedOn w:val="Normal"/>
    <w:link w:val="HeaderChar"/>
    <w:uiPriority w:val="99"/>
    <w:unhideWhenUsed/>
    <w:rsid w:val="004D7537"/>
    <w:pPr>
      <w:tabs>
        <w:tab w:val="center" w:pos="4680"/>
        <w:tab w:val="right" w:pos="9360"/>
      </w:tabs>
      <w:spacing w:after="0"/>
    </w:pPr>
  </w:style>
  <w:style w:type="character" w:customStyle="1" w:styleId="HeaderChar">
    <w:name w:val="Header Char"/>
    <w:basedOn w:val="DefaultParagraphFont"/>
    <w:link w:val="Header"/>
    <w:uiPriority w:val="99"/>
    <w:rsid w:val="004D7537"/>
  </w:style>
  <w:style w:type="paragraph" w:styleId="Footer">
    <w:name w:val="footer"/>
    <w:basedOn w:val="Normal"/>
    <w:link w:val="FooterChar"/>
    <w:uiPriority w:val="99"/>
    <w:unhideWhenUsed/>
    <w:rsid w:val="004D7537"/>
    <w:pPr>
      <w:tabs>
        <w:tab w:val="center" w:pos="4680"/>
        <w:tab w:val="right" w:pos="9360"/>
      </w:tabs>
      <w:spacing w:after="0"/>
    </w:pPr>
  </w:style>
  <w:style w:type="character" w:customStyle="1" w:styleId="FooterChar">
    <w:name w:val="Footer Char"/>
    <w:basedOn w:val="DefaultParagraphFont"/>
    <w:link w:val="Footer"/>
    <w:uiPriority w:val="99"/>
    <w:rsid w:val="004D7537"/>
  </w:style>
  <w:style w:type="character" w:styleId="Hyperlink">
    <w:name w:val="Hyperlink"/>
    <w:basedOn w:val="DefaultParagraphFont"/>
    <w:uiPriority w:val="99"/>
    <w:unhideWhenUsed/>
    <w:rsid w:val="007525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doi.org/10.17189/15201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3202</Words>
  <Characters>18255</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Brian Enke</cp:lastModifiedBy>
  <cp:revision>27</cp:revision>
  <cp:lastPrinted>2024-04-03T13:53:00Z</cp:lastPrinted>
  <dcterms:created xsi:type="dcterms:W3CDTF">2024-04-11T16:14:00Z</dcterms:created>
  <dcterms:modified xsi:type="dcterms:W3CDTF">2025-11-19T18:31:00Z</dcterms:modified>
</cp:coreProperties>
</file>